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EA201" w14:textId="77777777" w:rsidR="0059620E" w:rsidRDefault="0059620E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14:paraId="34BEA202" w14:textId="77777777" w:rsidR="0059620E" w:rsidRDefault="00A3252D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34BEA223">
          <v:group id="_x0000_s1026" style="width:557.2pt;height:103.7pt;mso-position-horizontal-relative:char;mso-position-vertical-relative:line" coordsize="11144,20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881;top:33;width:5263;height:1773">
              <v:imagedata r:id="rId4" o:title=""/>
            </v:shape>
            <v:shape id="_x0000_s1027" type="#_x0000_t75" style="position:absolute;width:7117;height:2074">
              <v:imagedata r:id="rId5" o:title=""/>
            </v:shape>
            <w10:wrap type="none"/>
            <w10:anchorlock/>
          </v:group>
        </w:pict>
      </w:r>
    </w:p>
    <w:p w14:paraId="34BEA203" w14:textId="77777777" w:rsidR="0059620E" w:rsidRDefault="0059620E">
      <w:pPr>
        <w:rPr>
          <w:rFonts w:ascii="Times New Roman" w:eastAsia="Times New Roman" w:hAnsi="Times New Roman" w:cs="Times New Roman"/>
          <w:sz w:val="6"/>
          <w:szCs w:val="6"/>
        </w:rPr>
      </w:pPr>
    </w:p>
    <w:p w14:paraId="34BEA204" w14:textId="2EC40B6B" w:rsidR="0059620E" w:rsidRPr="00A3252D" w:rsidRDefault="00A3252D">
      <w:pPr>
        <w:tabs>
          <w:tab w:val="left" w:pos="9383"/>
        </w:tabs>
        <w:spacing w:before="63"/>
        <w:ind w:left="740"/>
        <w:rPr>
          <w:rFonts w:ascii="Calibri" w:eastAsia="Calibri" w:hAnsi="Calibri" w:cs="Calibri"/>
          <w:sz w:val="18"/>
          <w:szCs w:val="18"/>
          <w:lang w:val="es-CR"/>
        </w:rPr>
      </w:pPr>
      <w:r w:rsidRPr="00A3252D">
        <w:rPr>
          <w:rFonts w:ascii="Calibri"/>
          <w:b/>
          <w:sz w:val="18"/>
          <w:lang w:val="es-CR"/>
        </w:rPr>
        <w:t xml:space="preserve">PARA DISTRIBUCION INMEDIATA  </w:t>
      </w:r>
      <w:r w:rsidRPr="00A3252D">
        <w:rPr>
          <w:rFonts w:ascii="Calibri"/>
          <w:b/>
          <w:spacing w:val="-1"/>
          <w:sz w:val="18"/>
          <w:lang w:val="es-CR"/>
        </w:rPr>
        <w:t xml:space="preserve">                                                                                               </w:t>
      </w:r>
      <w:r w:rsidR="003478DF" w:rsidRPr="00A3252D">
        <w:rPr>
          <w:rFonts w:ascii="Calibri"/>
          <w:b/>
          <w:spacing w:val="-1"/>
          <w:sz w:val="18"/>
          <w:lang w:val="es-CR"/>
        </w:rPr>
        <w:t>19</w:t>
      </w:r>
      <w:r w:rsidRPr="00A3252D">
        <w:rPr>
          <w:rFonts w:ascii="Calibri"/>
          <w:b/>
          <w:spacing w:val="-1"/>
          <w:sz w:val="18"/>
          <w:lang w:val="es-CR"/>
        </w:rPr>
        <w:t xml:space="preserve"> de no</w:t>
      </w:r>
      <w:r>
        <w:rPr>
          <w:rFonts w:ascii="Calibri"/>
          <w:b/>
          <w:spacing w:val="-1"/>
          <w:sz w:val="18"/>
          <w:lang w:val="es-CR"/>
        </w:rPr>
        <w:t>viembre del</w:t>
      </w:r>
      <w:r w:rsidR="003478DF" w:rsidRPr="00A3252D">
        <w:rPr>
          <w:rFonts w:ascii="Calibri"/>
          <w:b/>
          <w:spacing w:val="-7"/>
          <w:sz w:val="18"/>
          <w:lang w:val="es-CR"/>
        </w:rPr>
        <w:t xml:space="preserve"> </w:t>
      </w:r>
      <w:r w:rsidR="003478DF" w:rsidRPr="00A3252D">
        <w:rPr>
          <w:rFonts w:ascii="Calibri"/>
          <w:b/>
          <w:spacing w:val="-2"/>
          <w:sz w:val="18"/>
          <w:lang w:val="es-CR"/>
        </w:rPr>
        <w:t>2021</w:t>
      </w:r>
    </w:p>
    <w:p w14:paraId="34BEA205" w14:textId="31F6E11D" w:rsidR="0059620E" w:rsidRDefault="003478DF">
      <w:pPr>
        <w:ind w:left="74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Contact</w:t>
      </w:r>
      <w:r w:rsidR="00A3252D">
        <w:rPr>
          <w:rFonts w:ascii="Calibri"/>
          <w:spacing w:val="-1"/>
          <w:sz w:val="18"/>
        </w:rPr>
        <w:t>o</w:t>
      </w:r>
      <w:r>
        <w:rPr>
          <w:rFonts w:ascii="Calibri"/>
          <w:spacing w:val="-1"/>
          <w:sz w:val="18"/>
        </w:rPr>
        <w:t>: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ODH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pacing w:val="-1"/>
          <w:sz w:val="18"/>
        </w:rPr>
        <w:t>Office</w:t>
      </w:r>
      <w:r>
        <w:rPr>
          <w:rFonts w:ascii="Calibri"/>
          <w:spacing w:val="-8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Communications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pacing w:val="-1"/>
          <w:sz w:val="18"/>
        </w:rPr>
        <w:t>614-644-8562</w:t>
      </w:r>
    </w:p>
    <w:p w14:paraId="34BEA206" w14:textId="77777777" w:rsidR="0059620E" w:rsidRDefault="0059620E">
      <w:pPr>
        <w:spacing w:before="2"/>
        <w:rPr>
          <w:rFonts w:ascii="Calibri" w:eastAsia="Calibri" w:hAnsi="Calibri" w:cs="Calibri"/>
        </w:rPr>
      </w:pPr>
    </w:p>
    <w:p w14:paraId="3E96BA93" w14:textId="460658CC" w:rsidR="00D73E7B" w:rsidRPr="00D73E7B" w:rsidRDefault="00A26319" w:rsidP="00D73E7B">
      <w:pPr>
        <w:spacing w:before="3"/>
        <w:jc w:val="center"/>
        <w:rPr>
          <w:rFonts w:ascii="Calibri"/>
          <w:b/>
          <w:spacing w:val="-1"/>
          <w:sz w:val="28"/>
          <w:u w:val="thick" w:color="000000"/>
          <w:lang w:val="es-CR"/>
        </w:rPr>
      </w:pPr>
      <w:r>
        <w:rPr>
          <w:rFonts w:ascii="Calibri"/>
          <w:b/>
          <w:spacing w:val="-1"/>
          <w:sz w:val="28"/>
          <w:u w:val="thick" w:color="000000"/>
          <w:lang w:val="es-CR"/>
        </w:rPr>
        <w:t>El</w:t>
      </w:r>
      <w:r w:rsidR="00D73E7B" w:rsidRPr="00D73E7B">
        <w:rPr>
          <w:rFonts w:ascii="Calibri"/>
          <w:b/>
          <w:spacing w:val="-1"/>
          <w:sz w:val="28"/>
          <w:u w:val="thick" w:color="000000"/>
          <w:lang w:val="es-CR"/>
        </w:rPr>
        <w:t xml:space="preserve"> ODH emite una declaración </w:t>
      </w:r>
      <w:r w:rsidRPr="00D73E7B">
        <w:rPr>
          <w:rFonts w:ascii="Calibri"/>
          <w:b/>
          <w:spacing w:val="-1"/>
          <w:sz w:val="28"/>
          <w:u w:val="thick" w:color="000000"/>
          <w:lang w:val="es-CR"/>
        </w:rPr>
        <w:t xml:space="preserve">sobre </w:t>
      </w:r>
      <w:r w:rsidR="00D73E7B" w:rsidRPr="00D73E7B">
        <w:rPr>
          <w:rFonts w:ascii="Calibri"/>
          <w:b/>
          <w:spacing w:val="-1"/>
          <w:sz w:val="28"/>
          <w:u w:val="thick" w:color="000000"/>
          <w:lang w:val="es-CR"/>
        </w:rPr>
        <w:t>la expansión</w:t>
      </w:r>
      <w:r w:rsidRPr="00A26319">
        <w:rPr>
          <w:rFonts w:ascii="Calibri"/>
          <w:b/>
          <w:spacing w:val="-1"/>
          <w:sz w:val="28"/>
          <w:u w:val="thick" w:color="000000"/>
          <w:lang w:val="es-CR"/>
        </w:rPr>
        <w:t xml:space="preserve"> </w:t>
      </w:r>
      <w:r w:rsidRPr="00D73E7B">
        <w:rPr>
          <w:rFonts w:ascii="Calibri"/>
          <w:b/>
          <w:spacing w:val="-1"/>
          <w:sz w:val="28"/>
          <w:u w:val="thick" w:color="000000"/>
          <w:lang w:val="es-CR"/>
        </w:rPr>
        <w:t>federal</w:t>
      </w:r>
      <w:r w:rsidR="003A0A3C">
        <w:rPr>
          <w:rFonts w:ascii="Calibri"/>
          <w:b/>
          <w:spacing w:val="-1"/>
          <w:sz w:val="28"/>
          <w:u w:val="thick" w:color="000000"/>
          <w:lang w:val="es-CR"/>
        </w:rPr>
        <w:br/>
      </w:r>
      <w:r w:rsidR="00D73E7B" w:rsidRPr="00D73E7B">
        <w:rPr>
          <w:rFonts w:ascii="Calibri"/>
          <w:b/>
          <w:spacing w:val="-1"/>
          <w:sz w:val="28"/>
          <w:u w:val="thick" w:color="000000"/>
          <w:lang w:val="es-CR"/>
        </w:rPr>
        <w:t xml:space="preserve"> del refuerzo de la vacuna COVID-19</w:t>
      </w:r>
    </w:p>
    <w:p w14:paraId="37806E5F" w14:textId="42F07648" w:rsidR="00D73E7B" w:rsidRPr="00AA2441" w:rsidRDefault="00D73E7B" w:rsidP="00D73E7B">
      <w:pPr>
        <w:spacing w:before="3"/>
        <w:jc w:val="center"/>
        <w:rPr>
          <w:rFonts w:ascii="Calibri"/>
          <w:bCs/>
          <w:i/>
          <w:iCs/>
          <w:spacing w:val="-1"/>
          <w:sz w:val="28"/>
          <w:lang w:val="es-CR"/>
        </w:rPr>
      </w:pPr>
      <w:r w:rsidRPr="00AA2441">
        <w:rPr>
          <w:rFonts w:ascii="Calibri"/>
          <w:bCs/>
          <w:i/>
          <w:iCs/>
          <w:spacing w:val="-1"/>
          <w:sz w:val="28"/>
          <w:lang w:val="es-CR"/>
        </w:rPr>
        <w:t xml:space="preserve">Los refuerzos de la vacuna COVID-19 estarán disponibles </w:t>
      </w:r>
      <w:r w:rsidR="00AA2441" w:rsidRPr="00AA2441">
        <w:rPr>
          <w:rFonts w:ascii="Calibri"/>
          <w:bCs/>
          <w:i/>
          <w:iCs/>
          <w:spacing w:val="-1"/>
          <w:sz w:val="28"/>
          <w:lang w:val="es-CR"/>
        </w:rPr>
        <w:br/>
      </w:r>
      <w:r w:rsidRPr="00AA2441">
        <w:rPr>
          <w:rFonts w:ascii="Calibri"/>
          <w:bCs/>
          <w:i/>
          <w:iCs/>
          <w:spacing w:val="-1"/>
          <w:sz w:val="28"/>
          <w:lang w:val="es-CR"/>
        </w:rPr>
        <w:t>para todos los residentes de Ohio de 18 años o más</w:t>
      </w:r>
    </w:p>
    <w:p w14:paraId="55170B9A" w14:textId="77777777" w:rsidR="00D73E7B" w:rsidRPr="00D73E7B" w:rsidRDefault="00D73E7B" w:rsidP="00D73E7B">
      <w:pPr>
        <w:spacing w:before="3"/>
        <w:rPr>
          <w:rFonts w:ascii="Calibri"/>
          <w:b/>
          <w:spacing w:val="-1"/>
          <w:sz w:val="28"/>
          <w:u w:val="thick" w:color="000000"/>
          <w:lang w:val="es-CR"/>
        </w:rPr>
      </w:pPr>
    </w:p>
    <w:p w14:paraId="34BEA20B" w14:textId="23826C90" w:rsidR="0059620E" w:rsidRPr="00D73E7B" w:rsidRDefault="00D73E7B" w:rsidP="00D73E7B">
      <w:pPr>
        <w:spacing w:before="3"/>
        <w:rPr>
          <w:rFonts w:ascii="Calibri"/>
          <w:bCs/>
          <w:spacing w:val="-1"/>
          <w:lang w:val="es-CR"/>
        </w:rPr>
      </w:pPr>
      <w:r w:rsidRPr="00D73E7B">
        <w:rPr>
          <w:rFonts w:ascii="Calibri"/>
          <w:bCs/>
          <w:spacing w:val="-1"/>
          <w:lang w:val="es-CR"/>
        </w:rPr>
        <w:t xml:space="preserve">COLUMBUS - Siguiendo la acción del Comité Asesor sobre Prácticas de Inmunización (ACIP) de la Administración de Alimentos y Medicamentos de EE. UU. (FDA) y los Centros para el Control y la Prevención de Enfermedades (CDC), los refuerzos de la vacuna COVID-19 estarán disponibles para adultos de 18 años o más completamente vacunados después de la acción </w:t>
      </w:r>
      <w:r w:rsidR="005C7B6A">
        <w:rPr>
          <w:rFonts w:ascii="Calibri"/>
          <w:bCs/>
          <w:spacing w:val="-1"/>
          <w:lang w:val="es-CR"/>
        </w:rPr>
        <w:t>d</w:t>
      </w:r>
      <w:r w:rsidRPr="00D73E7B">
        <w:rPr>
          <w:rFonts w:ascii="Calibri"/>
          <w:bCs/>
          <w:spacing w:val="-1"/>
          <w:lang w:val="es-CR"/>
        </w:rPr>
        <w:t xml:space="preserve">el director de los CDC. Aquellos que recibieron originalmente la vacuna Johnson &amp; Johnson son elegibles para una única dosis de refuerzo dos meses después de su dosis original; aquellos que recibieron Moderna o Pfizer/Comirnaty serán elegibles seis meses después de recibir su segunda dosis, </w:t>
      </w:r>
      <w:r w:rsidR="00912B03">
        <w:rPr>
          <w:rFonts w:ascii="Calibri"/>
          <w:bCs/>
          <w:spacing w:val="-1"/>
          <w:lang w:val="es-CR"/>
        </w:rPr>
        <w:t>la cual</w:t>
      </w:r>
      <w:r w:rsidRPr="00D73E7B">
        <w:rPr>
          <w:rFonts w:ascii="Calibri"/>
          <w:bCs/>
          <w:spacing w:val="-1"/>
          <w:lang w:val="es-CR"/>
        </w:rPr>
        <w:t xml:space="preserve"> completó la serie de vacunas original. Los adultos completamente vacunados pueden elegir cualquiera de las tres vacunas COVID-19 autorizadas para su dosis de refuerzo.</w:t>
      </w:r>
    </w:p>
    <w:p w14:paraId="4679A768" w14:textId="77777777" w:rsidR="00D73E7B" w:rsidRPr="00D73E7B" w:rsidRDefault="00D73E7B" w:rsidP="00D73E7B">
      <w:pPr>
        <w:spacing w:before="3"/>
        <w:rPr>
          <w:rFonts w:ascii="Calibri" w:eastAsia="Calibri" w:hAnsi="Calibri" w:cs="Calibri"/>
          <w:lang w:val="es-CR"/>
        </w:rPr>
      </w:pPr>
    </w:p>
    <w:p w14:paraId="2AE6C300" w14:textId="0A2452A8" w:rsidR="00C22C43" w:rsidRPr="00E92A93" w:rsidRDefault="00C22C43" w:rsidP="00C22C43">
      <w:pPr>
        <w:spacing w:before="10"/>
        <w:rPr>
          <w:rFonts w:ascii="Calibri" w:eastAsia="Calibri" w:hAnsi="Calibri" w:cs="Calibri"/>
          <w:spacing w:val="-1"/>
          <w:lang w:val="es-CR"/>
        </w:rPr>
      </w:pPr>
      <w:r w:rsidRPr="00C22C43">
        <w:rPr>
          <w:rFonts w:ascii="Calibri" w:eastAsia="Calibri" w:hAnsi="Calibri" w:cs="Calibri"/>
          <w:spacing w:val="-1"/>
          <w:lang w:val="es-CR"/>
        </w:rPr>
        <w:t xml:space="preserve">“Tras la acción del director de los CDC, los proveedores de vacunas en Ohio pueden comenzar a administrar refuerzos de la vacuna COVID-19 a cualquier </w:t>
      </w:r>
      <w:r w:rsidR="00912B03">
        <w:rPr>
          <w:rFonts w:ascii="Calibri" w:eastAsia="Calibri" w:hAnsi="Calibri" w:cs="Calibri"/>
          <w:spacing w:val="-1"/>
          <w:lang w:val="es-CR"/>
        </w:rPr>
        <w:t>habitante</w:t>
      </w:r>
      <w:r w:rsidRPr="00C22C43">
        <w:rPr>
          <w:rFonts w:ascii="Calibri" w:eastAsia="Calibri" w:hAnsi="Calibri" w:cs="Calibri"/>
          <w:spacing w:val="-1"/>
          <w:lang w:val="es-CR"/>
        </w:rPr>
        <w:t xml:space="preserve"> de Ohio de 18 años o mayor que esté completamente vacunado”, explicó el </w:t>
      </w:r>
      <w:r w:rsidR="00FF0E4B">
        <w:rPr>
          <w:rFonts w:ascii="Calibri" w:eastAsia="Calibri" w:hAnsi="Calibri" w:cs="Calibri"/>
          <w:spacing w:val="-1"/>
          <w:lang w:val="es-CR"/>
        </w:rPr>
        <w:t>D</w:t>
      </w:r>
      <w:r w:rsidRPr="00C22C43">
        <w:rPr>
          <w:rFonts w:ascii="Calibri" w:eastAsia="Calibri" w:hAnsi="Calibri" w:cs="Calibri"/>
          <w:spacing w:val="-1"/>
          <w:lang w:val="es-CR"/>
        </w:rPr>
        <w:t xml:space="preserve">irector del Departamento de Salud de Ohio, Bruce Vanderhoff, MD, MBA. </w:t>
      </w:r>
      <w:r w:rsidRPr="00E92A93">
        <w:rPr>
          <w:rFonts w:ascii="Calibri" w:eastAsia="Calibri" w:hAnsi="Calibri" w:cs="Calibri"/>
          <w:spacing w:val="-1"/>
          <w:lang w:val="es-CR"/>
        </w:rPr>
        <w:t>“Las vacunas COVID-19 continúan siendo increíblemente efectivas. Sin embargo, existe una tendencia natural a que la inmunidad disminuya con el tiempo, ya sea la inmunidad natural o la inmunidad de una vacuna, y muchas inmunizaciones requieren al menos una dosis de refuerzo. Cuando los adultos de Ohio eligen recibir dosis de refuerzo, mantendrán su inmunidad frente al COVID-19 al máximo rendimiento".</w:t>
      </w:r>
    </w:p>
    <w:p w14:paraId="71D39B09" w14:textId="77777777" w:rsidR="00C22C43" w:rsidRPr="00E92A93" w:rsidRDefault="00C22C43" w:rsidP="00C22C43">
      <w:pPr>
        <w:spacing w:before="10"/>
        <w:rPr>
          <w:rFonts w:ascii="Calibri" w:eastAsia="Calibri" w:hAnsi="Calibri" w:cs="Calibri"/>
          <w:spacing w:val="-1"/>
          <w:lang w:val="es-CR"/>
        </w:rPr>
      </w:pPr>
    </w:p>
    <w:p w14:paraId="34BEA20F" w14:textId="68C6B1A3" w:rsidR="0059620E" w:rsidRPr="00E92A93" w:rsidRDefault="00C22C43" w:rsidP="00C22C43">
      <w:pPr>
        <w:spacing w:before="10"/>
        <w:rPr>
          <w:rFonts w:ascii="Calibri" w:eastAsia="Calibri" w:hAnsi="Calibri" w:cs="Calibri"/>
          <w:sz w:val="21"/>
          <w:szCs w:val="21"/>
          <w:lang w:val="es-CR"/>
        </w:rPr>
      </w:pPr>
      <w:r w:rsidRPr="00E92A93">
        <w:rPr>
          <w:rFonts w:ascii="Calibri" w:eastAsia="Calibri" w:hAnsi="Calibri" w:cs="Calibri"/>
          <w:spacing w:val="-1"/>
          <w:lang w:val="es-CR"/>
        </w:rPr>
        <w:t xml:space="preserve">“Recuerde, sin embargo, que todavía hay muchos </w:t>
      </w:r>
      <w:r w:rsidR="00A07E24">
        <w:rPr>
          <w:rFonts w:ascii="Calibri" w:eastAsia="Calibri" w:hAnsi="Calibri" w:cs="Calibri"/>
          <w:spacing w:val="-1"/>
          <w:lang w:val="es-CR"/>
        </w:rPr>
        <w:t>habitantes</w:t>
      </w:r>
      <w:r w:rsidRPr="00E92A93">
        <w:rPr>
          <w:rFonts w:ascii="Calibri" w:eastAsia="Calibri" w:hAnsi="Calibri" w:cs="Calibri"/>
          <w:spacing w:val="-1"/>
          <w:lang w:val="es-CR"/>
        </w:rPr>
        <w:t xml:space="preserve"> de Ohio elegibles que aún no han recibido su primera dosis de la vacuna COVID-19. Para aquellos residentes de Ohio que aún no han elegido vacunarse, les insto a que hablen con su médico o farmacéutico para obtener información sobre las vacunas COVID-19. Las vacunas COVID-19 están bajo una constante y rigurosa revisión de seguridad continua. Con más de 195 millones de personas completamente vacunadas en los EE. UU., </w:t>
      </w:r>
      <w:r w:rsidR="00A07E24">
        <w:rPr>
          <w:rFonts w:ascii="Calibri" w:eastAsia="Calibri" w:hAnsi="Calibri" w:cs="Calibri"/>
          <w:spacing w:val="-1"/>
          <w:lang w:val="es-CR"/>
        </w:rPr>
        <w:t>i</w:t>
      </w:r>
      <w:r w:rsidRPr="00E92A93">
        <w:rPr>
          <w:rFonts w:ascii="Calibri" w:eastAsia="Calibri" w:hAnsi="Calibri" w:cs="Calibri"/>
          <w:spacing w:val="-1"/>
          <w:lang w:val="es-CR"/>
        </w:rPr>
        <w:t xml:space="preserve">ncluidos más de 6,6 millones de habitantes de Ohio, estas vacunas mantienen un historial de seguridad notable. Hay un amplio suministro de vacunas en Ohio para la primera y segunda dosis, así como </w:t>
      </w:r>
      <w:r w:rsidR="00C161BC">
        <w:rPr>
          <w:rFonts w:ascii="Calibri" w:eastAsia="Calibri" w:hAnsi="Calibri" w:cs="Calibri"/>
          <w:spacing w:val="-1"/>
          <w:lang w:val="es-CR"/>
        </w:rPr>
        <w:t xml:space="preserve">para los </w:t>
      </w:r>
      <w:r w:rsidRPr="00E92A93">
        <w:rPr>
          <w:rFonts w:ascii="Calibri" w:eastAsia="Calibri" w:hAnsi="Calibri" w:cs="Calibri"/>
          <w:spacing w:val="-1"/>
          <w:lang w:val="es-CR"/>
        </w:rPr>
        <w:t>refuerzos</w:t>
      </w:r>
      <w:r w:rsidR="00C161BC">
        <w:rPr>
          <w:rFonts w:ascii="Calibri" w:eastAsia="Calibri" w:hAnsi="Calibri" w:cs="Calibri"/>
          <w:spacing w:val="-1"/>
          <w:lang w:val="es-CR"/>
        </w:rPr>
        <w:t>.</w:t>
      </w:r>
      <w:r w:rsidRPr="00E92A93">
        <w:rPr>
          <w:rFonts w:ascii="Calibri" w:eastAsia="Calibri" w:hAnsi="Calibri" w:cs="Calibri"/>
          <w:spacing w:val="-1"/>
          <w:lang w:val="es-CR"/>
        </w:rPr>
        <w:t xml:space="preserve"> "</w:t>
      </w:r>
      <w:r w:rsidR="00E92A93" w:rsidRPr="00E92A93">
        <w:rPr>
          <w:rFonts w:ascii="Calibri" w:eastAsia="Calibri" w:hAnsi="Calibri" w:cs="Calibri"/>
          <w:spacing w:val="-1"/>
          <w:lang w:val="es-CR"/>
        </w:rPr>
        <w:br/>
      </w:r>
    </w:p>
    <w:p w14:paraId="2ADA46AF" w14:textId="72F90011" w:rsidR="00E92A93" w:rsidRPr="00E92A93" w:rsidRDefault="00E92A93" w:rsidP="00E92A93">
      <w:pPr>
        <w:rPr>
          <w:rFonts w:ascii="Calibri" w:eastAsia="Calibri" w:hAnsi="Calibri"/>
          <w:spacing w:val="-1"/>
          <w:lang w:val="es-CR"/>
        </w:rPr>
      </w:pPr>
      <w:r w:rsidRPr="00E92A93">
        <w:rPr>
          <w:rFonts w:ascii="Calibri" w:eastAsia="Calibri" w:hAnsi="Calibri"/>
          <w:spacing w:val="-1"/>
          <w:lang w:val="es-CR"/>
        </w:rPr>
        <w:t xml:space="preserve">Las vacunas COVID-19 están ampliamente disponibles en todo el estado. Muchos proveedores ofrecen citas sin cita previa, o los </w:t>
      </w:r>
      <w:r w:rsidR="002828C2">
        <w:rPr>
          <w:rFonts w:ascii="Calibri" w:eastAsia="Calibri" w:hAnsi="Calibri"/>
          <w:spacing w:val="-1"/>
          <w:lang w:val="es-CR"/>
        </w:rPr>
        <w:t>habitantes</w:t>
      </w:r>
      <w:r w:rsidRPr="00E92A93">
        <w:rPr>
          <w:rFonts w:ascii="Calibri" w:eastAsia="Calibri" w:hAnsi="Calibri"/>
          <w:spacing w:val="-1"/>
          <w:lang w:val="es-CR"/>
        </w:rPr>
        <w:t xml:space="preserve"> de Ohio pueden programar una cita de vacunación en </w:t>
      </w:r>
      <w:hyperlink r:id="rId6" w:history="1">
        <w:r w:rsidRPr="00C36F37">
          <w:rPr>
            <w:rStyle w:val="Hyperlink"/>
            <w:rFonts w:ascii="Calibri" w:eastAsia="Calibri" w:hAnsi="Calibri"/>
            <w:spacing w:val="-1"/>
            <w:lang w:val="es-CR"/>
          </w:rPr>
          <w:t>gettheshot.coronavirus.ohio.gov</w:t>
        </w:r>
      </w:hyperlink>
      <w:r w:rsidRPr="00E92A93">
        <w:rPr>
          <w:rFonts w:ascii="Calibri" w:eastAsia="Calibri" w:hAnsi="Calibri"/>
          <w:spacing w:val="-1"/>
          <w:lang w:val="es-CR"/>
        </w:rPr>
        <w:t xml:space="preserve">. Los </w:t>
      </w:r>
      <w:r w:rsidR="00C36F37">
        <w:rPr>
          <w:rFonts w:ascii="Calibri" w:eastAsia="Calibri" w:hAnsi="Calibri"/>
          <w:spacing w:val="-1"/>
          <w:lang w:val="es-CR"/>
        </w:rPr>
        <w:t xml:space="preserve">habitantes </w:t>
      </w:r>
      <w:r w:rsidRPr="00E92A93">
        <w:rPr>
          <w:rFonts w:ascii="Calibri" w:eastAsia="Calibri" w:hAnsi="Calibri"/>
          <w:spacing w:val="-1"/>
          <w:lang w:val="es-CR"/>
        </w:rPr>
        <w:t xml:space="preserve">de Ohio que deseen obtener más información sobre la seguridad, la eficacia y los efectos secundarios de las vacunas COVID-19 deben hablar con su médico, enfermera o farmacéutico, o visitar </w:t>
      </w:r>
      <w:hyperlink r:id="rId7" w:history="1">
        <w:r w:rsidRPr="007059FF">
          <w:rPr>
            <w:rStyle w:val="Hyperlink"/>
            <w:rFonts w:ascii="Calibri" w:eastAsia="Calibri" w:hAnsi="Calibri"/>
            <w:spacing w:val="-1"/>
            <w:lang w:val="es-CR"/>
          </w:rPr>
          <w:t>coronavirus.ohio.gov/vaccine</w:t>
        </w:r>
      </w:hyperlink>
      <w:r w:rsidRPr="00E92A93">
        <w:rPr>
          <w:rFonts w:ascii="Calibri" w:eastAsia="Calibri" w:hAnsi="Calibri"/>
          <w:spacing w:val="-1"/>
          <w:lang w:val="es-CR"/>
        </w:rPr>
        <w:t>.</w:t>
      </w:r>
      <w:r w:rsidR="00A8348F">
        <w:rPr>
          <w:rFonts w:ascii="Calibri" w:eastAsia="Calibri" w:hAnsi="Calibri"/>
          <w:spacing w:val="-1"/>
          <w:lang w:val="es-CR"/>
        </w:rPr>
        <w:br/>
      </w:r>
    </w:p>
    <w:p w14:paraId="12D65FD9" w14:textId="77777777" w:rsidR="00E92A93" w:rsidRPr="00E92A93" w:rsidRDefault="00E92A93" w:rsidP="00A8348F">
      <w:pPr>
        <w:jc w:val="center"/>
        <w:rPr>
          <w:rFonts w:ascii="Calibri" w:eastAsia="Calibri" w:hAnsi="Calibri"/>
          <w:spacing w:val="-1"/>
          <w:lang w:val="es-CR"/>
        </w:rPr>
      </w:pPr>
      <w:r w:rsidRPr="00E92A93">
        <w:rPr>
          <w:rFonts w:ascii="Calibri" w:eastAsia="Calibri" w:hAnsi="Calibri"/>
          <w:spacing w:val="-1"/>
          <w:lang w:val="es-CR"/>
        </w:rPr>
        <w:t>###</w:t>
      </w:r>
    </w:p>
    <w:p w14:paraId="4527CB1E" w14:textId="77777777" w:rsidR="00E92A93" w:rsidRPr="00E92A93" w:rsidRDefault="00E92A93" w:rsidP="00E92A93">
      <w:pPr>
        <w:rPr>
          <w:rFonts w:ascii="Calibri" w:eastAsia="Calibri" w:hAnsi="Calibri"/>
          <w:spacing w:val="-1"/>
          <w:lang w:val="es-CR"/>
        </w:rPr>
      </w:pPr>
    </w:p>
    <w:p w14:paraId="22A81C16" w14:textId="77777777" w:rsidR="00E92A93" w:rsidRPr="00A8348F" w:rsidRDefault="00E92A93" w:rsidP="00E92A93">
      <w:pPr>
        <w:rPr>
          <w:rFonts w:ascii="Calibri" w:eastAsia="Calibri" w:hAnsi="Calibri"/>
          <w:b/>
          <w:bCs/>
          <w:i/>
          <w:iCs/>
          <w:spacing w:val="-1"/>
          <w:lang w:val="es-CR"/>
        </w:rPr>
      </w:pPr>
      <w:r w:rsidRPr="00A8348F">
        <w:rPr>
          <w:rFonts w:ascii="Calibri" w:eastAsia="Calibri" w:hAnsi="Calibri"/>
          <w:b/>
          <w:bCs/>
          <w:i/>
          <w:iCs/>
          <w:spacing w:val="-1"/>
          <w:lang w:val="es-CR"/>
        </w:rPr>
        <w:t>Acerca del Departamento de Salud de Ohio</w:t>
      </w:r>
    </w:p>
    <w:p w14:paraId="34BEA216" w14:textId="38DF2893" w:rsidR="0059620E" w:rsidRPr="003478DF" w:rsidRDefault="00E92A93" w:rsidP="00A8348F">
      <w:pPr>
        <w:rPr>
          <w:rFonts w:ascii="Calibri" w:eastAsia="Calibri" w:hAnsi="Calibri" w:cs="Calibri"/>
          <w:i/>
          <w:iCs/>
          <w:sz w:val="20"/>
          <w:szCs w:val="20"/>
          <w:lang w:val="es-CR"/>
        </w:rPr>
      </w:pPr>
      <w:r w:rsidRPr="003478DF">
        <w:rPr>
          <w:rFonts w:ascii="Calibri" w:eastAsia="Calibri" w:hAnsi="Calibri"/>
          <w:i/>
          <w:iCs/>
          <w:spacing w:val="-1"/>
          <w:lang w:val="es-CR"/>
        </w:rPr>
        <w:t xml:space="preserve">La misión del Departamento de Salud de Ohio es promover la salud y el bienestar de todos los habitantes de Ohio mediante la transformación del sistema de salud pública del estado a través de asociaciones y fuentes de financiación únicas; </w:t>
      </w:r>
      <w:r w:rsidR="009B28AE" w:rsidRPr="003478DF">
        <w:rPr>
          <w:rFonts w:ascii="Calibri" w:eastAsia="Calibri" w:hAnsi="Calibri"/>
          <w:i/>
          <w:iCs/>
          <w:spacing w:val="-1"/>
          <w:lang w:val="es-CR"/>
        </w:rPr>
        <w:t>haciendo frente a</w:t>
      </w:r>
      <w:r w:rsidRPr="003478DF">
        <w:rPr>
          <w:rFonts w:ascii="Calibri" w:eastAsia="Calibri" w:hAnsi="Calibri"/>
          <w:i/>
          <w:iCs/>
          <w:spacing w:val="-1"/>
          <w:lang w:val="es-CR"/>
        </w:rPr>
        <w:t xml:space="preserve"> las condiciones e inequidades de la comunidad que conducen a disparidades en los resultados de salud; e implementa</w:t>
      </w:r>
      <w:r w:rsidR="009B28AE" w:rsidRPr="003478DF">
        <w:rPr>
          <w:rFonts w:ascii="Calibri" w:eastAsia="Calibri" w:hAnsi="Calibri"/>
          <w:i/>
          <w:iCs/>
          <w:spacing w:val="-1"/>
          <w:lang w:val="es-CR"/>
        </w:rPr>
        <w:t>ndo</w:t>
      </w:r>
      <w:r w:rsidRPr="003478DF">
        <w:rPr>
          <w:rFonts w:ascii="Calibri" w:eastAsia="Calibri" w:hAnsi="Calibri"/>
          <w:i/>
          <w:iCs/>
          <w:spacing w:val="-1"/>
          <w:lang w:val="es-CR"/>
        </w:rPr>
        <w:t xml:space="preserve"> soluciones basadas en</w:t>
      </w:r>
      <w:r w:rsidR="007D576C" w:rsidRPr="003478DF">
        <w:rPr>
          <w:rFonts w:ascii="Calibri" w:eastAsia="Calibri" w:hAnsi="Calibri"/>
          <w:i/>
          <w:iCs/>
          <w:spacing w:val="-1"/>
          <w:lang w:val="es-CR"/>
        </w:rPr>
        <w:t xml:space="preserve"> estadísticas y</w:t>
      </w:r>
      <w:r w:rsidRPr="003478DF">
        <w:rPr>
          <w:rFonts w:ascii="Calibri" w:eastAsia="Calibri" w:hAnsi="Calibri"/>
          <w:i/>
          <w:iCs/>
          <w:spacing w:val="-1"/>
          <w:lang w:val="es-CR"/>
        </w:rPr>
        <w:t xml:space="preserve"> evidencia.</w:t>
      </w:r>
    </w:p>
    <w:p w14:paraId="34BEA217" w14:textId="77777777" w:rsidR="0059620E" w:rsidRPr="00E92A93" w:rsidRDefault="0059620E">
      <w:pPr>
        <w:rPr>
          <w:rFonts w:ascii="Calibri" w:eastAsia="Calibri" w:hAnsi="Calibri" w:cs="Calibri"/>
          <w:i/>
          <w:sz w:val="20"/>
          <w:szCs w:val="20"/>
          <w:lang w:val="es-CR"/>
        </w:rPr>
      </w:pPr>
    </w:p>
    <w:p w14:paraId="34BEA218" w14:textId="77777777" w:rsidR="0059620E" w:rsidRPr="00E92A93" w:rsidRDefault="0059620E">
      <w:pPr>
        <w:rPr>
          <w:rFonts w:ascii="Calibri" w:eastAsia="Calibri" w:hAnsi="Calibri" w:cs="Calibri"/>
          <w:i/>
          <w:sz w:val="20"/>
          <w:szCs w:val="20"/>
          <w:lang w:val="es-CR"/>
        </w:rPr>
      </w:pPr>
    </w:p>
    <w:p w14:paraId="34BEA219" w14:textId="77777777" w:rsidR="0059620E" w:rsidRPr="00E92A93" w:rsidRDefault="0059620E">
      <w:pPr>
        <w:rPr>
          <w:rFonts w:ascii="Calibri" w:eastAsia="Calibri" w:hAnsi="Calibri" w:cs="Calibri"/>
          <w:i/>
          <w:sz w:val="20"/>
          <w:szCs w:val="20"/>
          <w:lang w:val="es-CR"/>
        </w:rPr>
      </w:pPr>
    </w:p>
    <w:p w14:paraId="34BEA21A" w14:textId="77777777" w:rsidR="0059620E" w:rsidRPr="00E92A93" w:rsidRDefault="0059620E">
      <w:pPr>
        <w:rPr>
          <w:rFonts w:ascii="Calibri" w:eastAsia="Calibri" w:hAnsi="Calibri" w:cs="Calibri"/>
          <w:i/>
          <w:sz w:val="20"/>
          <w:szCs w:val="20"/>
          <w:lang w:val="es-CR"/>
        </w:rPr>
      </w:pPr>
    </w:p>
    <w:p w14:paraId="34BEA21B" w14:textId="77777777" w:rsidR="0059620E" w:rsidRPr="00E92A93" w:rsidRDefault="0059620E">
      <w:pPr>
        <w:spacing w:before="2"/>
        <w:rPr>
          <w:rFonts w:ascii="Calibri" w:eastAsia="Calibri" w:hAnsi="Calibri" w:cs="Calibri"/>
          <w:i/>
          <w:sz w:val="20"/>
          <w:szCs w:val="20"/>
          <w:lang w:val="es-CR"/>
        </w:rPr>
      </w:pPr>
    </w:p>
    <w:p w14:paraId="34BEA21C" w14:textId="77777777" w:rsidR="0059620E" w:rsidRDefault="003478DF">
      <w:pPr>
        <w:tabs>
          <w:tab w:val="left" w:pos="5309"/>
        </w:tabs>
        <w:ind w:left="2656" w:right="5026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767070"/>
          <w:sz w:val="16"/>
        </w:rPr>
        <w:t>246</w:t>
      </w:r>
      <w:r>
        <w:rPr>
          <w:rFonts w:ascii="Arial"/>
          <w:color w:val="767070"/>
          <w:spacing w:val="1"/>
          <w:sz w:val="16"/>
        </w:rPr>
        <w:t xml:space="preserve"> </w:t>
      </w:r>
      <w:r>
        <w:rPr>
          <w:rFonts w:ascii="Arial"/>
          <w:color w:val="767070"/>
          <w:spacing w:val="-1"/>
          <w:sz w:val="16"/>
        </w:rPr>
        <w:t>North</w:t>
      </w:r>
      <w:r>
        <w:rPr>
          <w:rFonts w:ascii="Arial"/>
          <w:color w:val="767070"/>
          <w:spacing w:val="1"/>
          <w:sz w:val="16"/>
        </w:rPr>
        <w:t xml:space="preserve"> </w:t>
      </w:r>
      <w:r>
        <w:rPr>
          <w:rFonts w:ascii="Arial"/>
          <w:color w:val="767070"/>
          <w:spacing w:val="-1"/>
          <w:sz w:val="16"/>
        </w:rPr>
        <w:t>High</w:t>
      </w:r>
      <w:r>
        <w:rPr>
          <w:rFonts w:ascii="Arial"/>
          <w:color w:val="767070"/>
          <w:spacing w:val="-4"/>
          <w:sz w:val="16"/>
        </w:rPr>
        <w:t xml:space="preserve"> </w:t>
      </w:r>
      <w:r>
        <w:rPr>
          <w:rFonts w:ascii="Arial"/>
          <w:color w:val="767070"/>
          <w:spacing w:val="-1"/>
          <w:sz w:val="16"/>
        </w:rPr>
        <w:t>Street</w:t>
      </w:r>
      <w:r>
        <w:rPr>
          <w:rFonts w:ascii="Arial"/>
          <w:color w:val="767070"/>
          <w:spacing w:val="-1"/>
          <w:sz w:val="16"/>
        </w:rPr>
        <w:tab/>
      </w:r>
      <w:r>
        <w:rPr>
          <w:rFonts w:ascii="Arial"/>
          <w:color w:val="767070"/>
          <w:spacing w:val="-2"/>
          <w:sz w:val="16"/>
        </w:rPr>
        <w:t>614</w:t>
      </w:r>
      <w:r>
        <w:rPr>
          <w:rFonts w:ascii="Arial"/>
          <w:color w:val="767070"/>
          <w:spacing w:val="1"/>
          <w:sz w:val="16"/>
        </w:rPr>
        <w:t xml:space="preserve"> </w:t>
      </w:r>
      <w:r>
        <w:rPr>
          <w:rFonts w:ascii="Arial"/>
          <w:color w:val="767070"/>
          <w:sz w:val="16"/>
        </w:rPr>
        <w:t>I 466-3543</w:t>
      </w:r>
      <w:r>
        <w:rPr>
          <w:rFonts w:ascii="Arial"/>
          <w:color w:val="767070"/>
          <w:spacing w:val="23"/>
          <w:sz w:val="16"/>
        </w:rPr>
        <w:t xml:space="preserve"> </w:t>
      </w:r>
      <w:r>
        <w:rPr>
          <w:rFonts w:ascii="Arial"/>
          <w:color w:val="767070"/>
          <w:spacing w:val="-1"/>
          <w:sz w:val="16"/>
        </w:rPr>
        <w:t>Columbus,</w:t>
      </w:r>
      <w:r>
        <w:rPr>
          <w:rFonts w:ascii="Arial"/>
          <w:color w:val="767070"/>
          <w:sz w:val="16"/>
        </w:rPr>
        <w:t xml:space="preserve"> </w:t>
      </w:r>
      <w:r>
        <w:rPr>
          <w:rFonts w:ascii="Arial"/>
          <w:color w:val="767070"/>
          <w:spacing w:val="-1"/>
          <w:sz w:val="16"/>
        </w:rPr>
        <w:t>Ohio</w:t>
      </w:r>
      <w:r>
        <w:rPr>
          <w:rFonts w:ascii="Arial"/>
          <w:color w:val="767070"/>
          <w:spacing w:val="-4"/>
          <w:sz w:val="16"/>
        </w:rPr>
        <w:t xml:space="preserve"> </w:t>
      </w:r>
      <w:r>
        <w:rPr>
          <w:rFonts w:ascii="Arial"/>
          <w:color w:val="767070"/>
          <w:sz w:val="16"/>
        </w:rPr>
        <w:t>43215</w:t>
      </w:r>
      <w:r>
        <w:rPr>
          <w:rFonts w:ascii="Arial"/>
          <w:color w:val="767070"/>
          <w:spacing w:val="40"/>
          <w:sz w:val="16"/>
        </w:rPr>
        <w:t xml:space="preserve"> </w:t>
      </w:r>
      <w:r>
        <w:rPr>
          <w:rFonts w:ascii="Arial"/>
          <w:color w:val="767070"/>
          <w:spacing w:val="-1"/>
          <w:sz w:val="16"/>
        </w:rPr>
        <w:t>U.S.A.</w:t>
      </w:r>
    </w:p>
    <w:p w14:paraId="34BEA21D" w14:textId="77777777" w:rsidR="0059620E" w:rsidRDefault="0059620E">
      <w:pPr>
        <w:spacing w:before="8"/>
        <w:rPr>
          <w:rFonts w:ascii="Arial" w:eastAsia="Arial" w:hAnsi="Arial" w:cs="Arial"/>
          <w:sz w:val="10"/>
          <w:szCs w:val="10"/>
        </w:rPr>
      </w:pPr>
    </w:p>
    <w:p w14:paraId="34BEA21E" w14:textId="77777777" w:rsidR="0059620E" w:rsidRDefault="0059620E">
      <w:pPr>
        <w:rPr>
          <w:rFonts w:ascii="Arial" w:eastAsia="Arial" w:hAnsi="Arial" w:cs="Arial"/>
          <w:sz w:val="10"/>
          <w:szCs w:val="10"/>
        </w:rPr>
        <w:sectPr w:rsidR="0059620E" w:rsidSect="00FD06B1">
          <w:type w:val="continuous"/>
          <w:pgSz w:w="12240" w:h="15840"/>
          <w:pgMar w:top="1440" w:right="1080" w:bottom="1440" w:left="1080" w:header="720" w:footer="720" w:gutter="0"/>
          <w:cols w:space="720"/>
          <w:docGrid w:linePitch="299"/>
        </w:sectPr>
      </w:pPr>
    </w:p>
    <w:p w14:paraId="34BEA21F" w14:textId="77777777" w:rsidR="0059620E" w:rsidRDefault="003478DF">
      <w:pPr>
        <w:spacing w:before="82"/>
        <w:ind w:left="2651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767070"/>
          <w:spacing w:val="-2"/>
          <w:sz w:val="14"/>
        </w:rPr>
        <w:t>The</w:t>
      </w:r>
      <w:r>
        <w:rPr>
          <w:rFonts w:ascii="Arial"/>
          <w:color w:val="767070"/>
          <w:spacing w:val="2"/>
          <w:sz w:val="14"/>
        </w:rPr>
        <w:t xml:space="preserve"> </w:t>
      </w:r>
      <w:r>
        <w:rPr>
          <w:rFonts w:ascii="Arial"/>
          <w:color w:val="767070"/>
          <w:spacing w:val="-1"/>
          <w:sz w:val="14"/>
        </w:rPr>
        <w:t>State</w:t>
      </w:r>
      <w:r>
        <w:rPr>
          <w:rFonts w:ascii="Arial"/>
          <w:color w:val="767070"/>
          <w:spacing w:val="-2"/>
          <w:sz w:val="14"/>
        </w:rPr>
        <w:t xml:space="preserve"> </w:t>
      </w:r>
      <w:r>
        <w:rPr>
          <w:rFonts w:ascii="Arial"/>
          <w:color w:val="767070"/>
          <w:sz w:val="14"/>
        </w:rPr>
        <w:t>of</w:t>
      </w:r>
      <w:r>
        <w:rPr>
          <w:rFonts w:ascii="Arial"/>
          <w:color w:val="767070"/>
          <w:spacing w:val="-3"/>
          <w:sz w:val="14"/>
        </w:rPr>
        <w:t xml:space="preserve"> </w:t>
      </w:r>
      <w:r>
        <w:rPr>
          <w:rFonts w:ascii="Arial"/>
          <w:color w:val="767070"/>
          <w:spacing w:val="-1"/>
          <w:sz w:val="14"/>
        </w:rPr>
        <w:t>Ohio</w:t>
      </w:r>
      <w:r>
        <w:rPr>
          <w:rFonts w:ascii="Arial"/>
          <w:color w:val="767070"/>
          <w:spacing w:val="-2"/>
          <w:sz w:val="14"/>
        </w:rPr>
        <w:t xml:space="preserve"> </w:t>
      </w:r>
      <w:r>
        <w:rPr>
          <w:rFonts w:ascii="Arial"/>
          <w:color w:val="767070"/>
          <w:spacing w:val="-1"/>
          <w:sz w:val="14"/>
        </w:rPr>
        <w:t>is</w:t>
      </w:r>
      <w:r>
        <w:rPr>
          <w:rFonts w:ascii="Arial"/>
          <w:color w:val="767070"/>
          <w:sz w:val="14"/>
        </w:rPr>
        <w:t xml:space="preserve"> an</w:t>
      </w:r>
      <w:r>
        <w:rPr>
          <w:rFonts w:ascii="Arial"/>
          <w:color w:val="767070"/>
          <w:spacing w:val="-2"/>
          <w:sz w:val="14"/>
        </w:rPr>
        <w:t xml:space="preserve"> </w:t>
      </w:r>
      <w:r>
        <w:rPr>
          <w:rFonts w:ascii="Arial"/>
          <w:color w:val="767070"/>
          <w:sz w:val="14"/>
        </w:rPr>
        <w:t>Equal</w:t>
      </w:r>
      <w:r>
        <w:rPr>
          <w:rFonts w:ascii="Arial"/>
          <w:color w:val="767070"/>
          <w:spacing w:val="-1"/>
          <w:sz w:val="14"/>
        </w:rPr>
        <w:t xml:space="preserve"> Opportunity</w:t>
      </w:r>
      <w:r>
        <w:rPr>
          <w:rFonts w:ascii="Arial"/>
          <w:color w:val="767070"/>
          <w:sz w:val="14"/>
        </w:rPr>
        <w:t xml:space="preserve"> </w:t>
      </w:r>
      <w:r>
        <w:rPr>
          <w:rFonts w:ascii="Arial"/>
          <w:color w:val="767070"/>
          <w:spacing w:val="-2"/>
          <w:sz w:val="14"/>
        </w:rPr>
        <w:t>Employer</w:t>
      </w:r>
      <w:r>
        <w:rPr>
          <w:rFonts w:ascii="Arial"/>
          <w:color w:val="767070"/>
          <w:spacing w:val="-1"/>
          <w:sz w:val="14"/>
        </w:rPr>
        <w:t xml:space="preserve"> </w:t>
      </w:r>
      <w:r>
        <w:rPr>
          <w:rFonts w:ascii="Arial"/>
          <w:color w:val="767070"/>
          <w:sz w:val="14"/>
        </w:rPr>
        <w:t>and</w:t>
      </w:r>
      <w:r>
        <w:rPr>
          <w:rFonts w:ascii="Arial"/>
          <w:color w:val="767070"/>
          <w:spacing w:val="-2"/>
          <w:sz w:val="14"/>
        </w:rPr>
        <w:t xml:space="preserve"> </w:t>
      </w:r>
      <w:r>
        <w:rPr>
          <w:rFonts w:ascii="Arial"/>
          <w:color w:val="767070"/>
          <w:sz w:val="14"/>
        </w:rPr>
        <w:t>Provider</w:t>
      </w:r>
      <w:r>
        <w:rPr>
          <w:rFonts w:ascii="Arial"/>
          <w:color w:val="767070"/>
          <w:spacing w:val="-6"/>
          <w:sz w:val="14"/>
        </w:rPr>
        <w:t xml:space="preserve"> </w:t>
      </w:r>
      <w:r>
        <w:rPr>
          <w:rFonts w:ascii="Arial"/>
          <w:color w:val="767070"/>
          <w:sz w:val="14"/>
        </w:rPr>
        <w:t>of</w:t>
      </w:r>
      <w:r>
        <w:rPr>
          <w:rFonts w:ascii="Arial"/>
          <w:color w:val="767070"/>
          <w:spacing w:val="-3"/>
          <w:sz w:val="14"/>
        </w:rPr>
        <w:t xml:space="preserve"> </w:t>
      </w:r>
      <w:r>
        <w:rPr>
          <w:rFonts w:ascii="Arial"/>
          <w:color w:val="767070"/>
          <w:spacing w:val="-1"/>
          <w:sz w:val="14"/>
        </w:rPr>
        <w:t>ADA</w:t>
      </w:r>
      <w:r>
        <w:rPr>
          <w:rFonts w:ascii="Arial"/>
          <w:color w:val="767070"/>
          <w:spacing w:val="2"/>
          <w:sz w:val="14"/>
        </w:rPr>
        <w:t xml:space="preserve"> </w:t>
      </w:r>
      <w:r>
        <w:rPr>
          <w:rFonts w:ascii="Arial"/>
          <w:color w:val="767070"/>
          <w:spacing w:val="-1"/>
          <w:sz w:val="14"/>
        </w:rPr>
        <w:t>Services.</w:t>
      </w:r>
    </w:p>
    <w:p w14:paraId="34BEA220" w14:textId="77777777" w:rsidR="0059620E" w:rsidRDefault="003478DF">
      <w:pPr>
        <w:spacing w:before="3"/>
        <w:rPr>
          <w:rFonts w:ascii="Arial" w:eastAsia="Arial" w:hAnsi="Arial" w:cs="Arial"/>
          <w:sz w:val="16"/>
          <w:szCs w:val="16"/>
        </w:rPr>
      </w:pPr>
      <w:r>
        <w:br w:type="column"/>
      </w:r>
    </w:p>
    <w:p w14:paraId="34BEA221" w14:textId="77777777" w:rsidR="0059620E" w:rsidRDefault="003478DF">
      <w:pPr>
        <w:ind w:right="105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REV.</w:t>
      </w:r>
      <w:r>
        <w:rPr>
          <w:rFonts w:ascii="Arial"/>
          <w:spacing w:val="2"/>
          <w:sz w:val="14"/>
        </w:rPr>
        <w:t xml:space="preserve"> </w:t>
      </w:r>
      <w:r>
        <w:rPr>
          <w:rFonts w:ascii="Arial"/>
          <w:spacing w:val="-1"/>
          <w:sz w:val="14"/>
        </w:rPr>
        <w:t>11/12/2021</w:t>
      </w:r>
    </w:p>
    <w:sectPr w:rsidR="0059620E">
      <w:type w:val="continuous"/>
      <w:pgSz w:w="12240" w:h="15840"/>
      <w:pgMar w:top="240" w:right="480" w:bottom="0" w:left="340" w:header="720" w:footer="720" w:gutter="0"/>
      <w:cols w:num="2" w:space="720" w:equalWidth="0">
        <w:col w:w="7794" w:space="40"/>
        <w:col w:w="35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20E"/>
    <w:rsid w:val="002828C2"/>
    <w:rsid w:val="003478DF"/>
    <w:rsid w:val="003A0A3C"/>
    <w:rsid w:val="0059620E"/>
    <w:rsid w:val="00597949"/>
    <w:rsid w:val="005C7B6A"/>
    <w:rsid w:val="007059FF"/>
    <w:rsid w:val="007D576C"/>
    <w:rsid w:val="00912B03"/>
    <w:rsid w:val="009B28AE"/>
    <w:rsid w:val="00A07E24"/>
    <w:rsid w:val="00A26319"/>
    <w:rsid w:val="00A3252D"/>
    <w:rsid w:val="00A73F3F"/>
    <w:rsid w:val="00A8348F"/>
    <w:rsid w:val="00AA2441"/>
    <w:rsid w:val="00AD6B09"/>
    <w:rsid w:val="00C161BC"/>
    <w:rsid w:val="00C22C43"/>
    <w:rsid w:val="00C36F37"/>
    <w:rsid w:val="00D73E7B"/>
    <w:rsid w:val="00E92A93"/>
    <w:rsid w:val="00FD06B1"/>
    <w:rsid w:val="00FF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4BEA201"/>
  <w15:docId w15:val="{2A23450A-1080-463D-957C-4253FE3B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36F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oronavirus.ohio.gov/vacc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ettheshot.coronavirus.ohio.gov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Ness, Travis</dc:creator>
  <cp:lastModifiedBy>Cavanaugh, Lilleana</cp:lastModifiedBy>
  <cp:revision>24</cp:revision>
  <dcterms:created xsi:type="dcterms:W3CDTF">2021-11-22T13:48:00Z</dcterms:created>
  <dcterms:modified xsi:type="dcterms:W3CDTF">2021-11-22T17:19:00Z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LastSaved">
    <vt:filetime>2021-11-22T00:00:00Z</vt:filetime>
  </property>
</Properties>
</file>